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  <w:bookmarkStart w:id="0" w:name="_GoBack"/>
      <w:bookmarkEnd w:id="0"/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12072D">
        <w:rPr>
          <w:b/>
          <w:sz w:val="36"/>
          <w:szCs w:val="36"/>
        </w:rPr>
        <w:t xml:space="preserve"> JANUARY 2017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173118" w:rsidRDefault="0012072D" w:rsidP="00D842D2">
            <w:pPr>
              <w:rPr>
                <w:b/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Nothing reported</w:t>
            </w:r>
            <w:r w:rsidR="00173118">
              <w:rPr>
                <w:b/>
                <w:color w:val="FF0000"/>
                <w:szCs w:val="24"/>
              </w:rPr>
              <w:t xml:space="preserve">—Possible auto theft pending more info!    </w:t>
            </w:r>
          </w:p>
        </w:tc>
        <w:tc>
          <w:tcPr>
            <w:tcW w:w="504" w:type="dxa"/>
          </w:tcPr>
          <w:p w:rsidR="00BE2CD8" w:rsidRPr="00173118" w:rsidRDefault="00173118" w:rsidP="00D842D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</w:tr>
      <w:tr w:rsidR="001775E8" w:rsidRPr="00D068B3" w:rsidTr="00D842D2">
        <w:trPr>
          <w:jc w:val="center"/>
        </w:trPr>
        <w:tc>
          <w:tcPr>
            <w:tcW w:w="6696" w:type="dxa"/>
          </w:tcPr>
          <w:p w:rsidR="001775E8" w:rsidRPr="00D068B3" w:rsidRDefault="001775E8" w:rsidP="00D842D2">
            <w:pPr>
              <w:rPr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1775E8" w:rsidRPr="00D068B3" w:rsidRDefault="001775E8" w:rsidP="00D842D2">
            <w:pPr>
              <w:jc w:val="center"/>
            </w:pPr>
          </w:p>
        </w:tc>
      </w:tr>
      <w:tr w:rsidR="001D0BCA" w:rsidRPr="00D068B3" w:rsidTr="00D842D2">
        <w:trPr>
          <w:jc w:val="center"/>
        </w:trPr>
        <w:tc>
          <w:tcPr>
            <w:tcW w:w="6696" w:type="dxa"/>
          </w:tcPr>
          <w:p w:rsidR="001D0BCA" w:rsidRDefault="00921033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Shopping </w:t>
            </w:r>
            <w:r w:rsidR="0012072D">
              <w:rPr>
                <w:color w:val="000000"/>
                <w:szCs w:val="24"/>
              </w:rPr>
              <w:t>center—Robbery Chase Bank</w:t>
            </w:r>
          </w:p>
        </w:tc>
        <w:tc>
          <w:tcPr>
            <w:tcW w:w="504" w:type="dxa"/>
          </w:tcPr>
          <w:p w:rsidR="001D0BCA" w:rsidRDefault="00921033" w:rsidP="00D842D2">
            <w:pPr>
              <w:jc w:val="center"/>
            </w:pPr>
            <w:r>
              <w:t>1</w:t>
            </w:r>
          </w:p>
        </w:tc>
      </w:tr>
    </w:tbl>
    <w:p w:rsidR="00BE2CD8" w:rsidRPr="00D068B3" w:rsidRDefault="00BE2CD8" w:rsidP="004C4BBB">
      <w:pPr>
        <w:pStyle w:val="NormalWeb"/>
        <w:spacing w:before="0" w:beforeAutospacing="0" w:after="0" w:afterAutospacing="0"/>
        <w:jc w:val="center"/>
      </w:pPr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12072D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Burglary of a Motor Vehicle</w:t>
            </w:r>
          </w:p>
        </w:tc>
        <w:tc>
          <w:tcPr>
            <w:tcW w:w="504" w:type="dxa"/>
          </w:tcPr>
          <w:p w:rsidR="00BE2CD8" w:rsidRPr="00D068B3" w:rsidRDefault="0012072D" w:rsidP="00D842D2">
            <w:pPr>
              <w:jc w:val="center"/>
            </w:pPr>
            <w:r>
              <w:t>1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D068B3" w:rsidRDefault="0012072D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Burglary of a Vacant Residence</w:t>
            </w:r>
          </w:p>
        </w:tc>
        <w:tc>
          <w:tcPr>
            <w:tcW w:w="504" w:type="dxa"/>
          </w:tcPr>
          <w:p w:rsidR="006F2CF0" w:rsidRPr="00D068B3" w:rsidRDefault="0012072D" w:rsidP="00D842D2">
            <w:pPr>
              <w:jc w:val="center"/>
            </w:pPr>
            <w:r>
              <w:t>1</w:t>
            </w:r>
          </w:p>
        </w:tc>
      </w:tr>
    </w:tbl>
    <w:p w:rsidR="005223FE" w:rsidRPr="00E025C1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851D3" w:rsidRDefault="000851D3" w:rsidP="005223FE">
      <w:pPr>
        <w:jc w:val="center"/>
        <w:rPr>
          <w:b/>
          <w:sz w:val="28"/>
          <w:szCs w:val="28"/>
        </w:rPr>
      </w:pPr>
    </w:p>
    <w:p w:rsidR="00F346F5" w:rsidRDefault="00F346F5" w:rsidP="005223FE">
      <w:pPr>
        <w:jc w:val="center"/>
        <w:rPr>
          <w:b/>
          <w:sz w:val="28"/>
          <w:szCs w:val="28"/>
        </w:rPr>
      </w:pPr>
    </w:p>
    <w:p w:rsidR="0050302B" w:rsidRPr="00173118" w:rsidRDefault="0050302B" w:rsidP="0050302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Two incidents of crime in the neighborhood—NOT BAD, but could be improved upon!  The practice of LOCK-TAKE-HIDE might have helped!  I did not include the bank incident which occurred in the shopping center.  Please note the shopping center has a vehicle security officer, which I believe is 24/7.</w:t>
      </w:r>
      <w:r w:rsidR="00173118">
        <w:rPr>
          <w:b/>
          <w:sz w:val="28"/>
          <w:szCs w:val="28"/>
        </w:rPr>
        <w:t xml:space="preserve"> </w:t>
      </w:r>
      <w:r w:rsidR="00173118">
        <w:rPr>
          <w:b/>
          <w:color w:val="FF0000"/>
          <w:sz w:val="28"/>
          <w:szCs w:val="28"/>
        </w:rPr>
        <w:t>It is possible there was an auto theft on the 31</w:t>
      </w:r>
      <w:r w:rsidR="00173118" w:rsidRPr="00173118">
        <w:rPr>
          <w:b/>
          <w:color w:val="FF0000"/>
          <w:sz w:val="28"/>
          <w:szCs w:val="28"/>
          <w:vertAlign w:val="superscript"/>
        </w:rPr>
        <w:t>st</w:t>
      </w:r>
      <w:r w:rsidR="00173118">
        <w:rPr>
          <w:b/>
          <w:color w:val="FF0000"/>
          <w:sz w:val="28"/>
          <w:szCs w:val="28"/>
        </w:rPr>
        <w:t>, but I need to get more details.  If it was then it will be reported in February!</w:t>
      </w:r>
    </w:p>
    <w:p w:rsidR="0050302B" w:rsidRDefault="0050302B" w:rsidP="0050302B">
      <w:pPr>
        <w:rPr>
          <w:b/>
          <w:sz w:val="28"/>
          <w:szCs w:val="28"/>
        </w:rPr>
      </w:pPr>
    </w:p>
    <w:p w:rsidR="0050302B" w:rsidRDefault="0050302B" w:rsidP="0050302B">
      <w:pPr>
        <w:rPr>
          <w:sz w:val="28"/>
          <w:szCs w:val="28"/>
        </w:rPr>
      </w:pPr>
      <w:r>
        <w:rPr>
          <w:b/>
          <w:sz w:val="28"/>
          <w:szCs w:val="28"/>
        </w:rPr>
        <w:t>Scams—</w:t>
      </w:r>
      <w:r>
        <w:rPr>
          <w:sz w:val="28"/>
          <w:szCs w:val="28"/>
        </w:rPr>
        <w:t>I have not had any scams reported this month, but rest assured they are still out there!</w:t>
      </w:r>
    </w:p>
    <w:p w:rsidR="0050302B" w:rsidRDefault="0050302B" w:rsidP="0050302B">
      <w:pPr>
        <w:rPr>
          <w:sz w:val="28"/>
          <w:szCs w:val="28"/>
        </w:rPr>
      </w:pPr>
    </w:p>
    <w:p w:rsidR="0050302B" w:rsidRPr="0050302B" w:rsidRDefault="0050302B" w:rsidP="0050302B">
      <w:pPr>
        <w:rPr>
          <w:sz w:val="28"/>
          <w:szCs w:val="28"/>
        </w:rPr>
      </w:pPr>
      <w:r>
        <w:rPr>
          <w:b/>
          <w:sz w:val="28"/>
          <w:szCs w:val="28"/>
        </w:rPr>
        <w:t>Spot Crime—</w:t>
      </w:r>
      <w:proofErr w:type="gramStart"/>
      <w:r>
        <w:rPr>
          <w:sz w:val="28"/>
          <w:szCs w:val="28"/>
        </w:rPr>
        <w:t>Some</w:t>
      </w:r>
      <w:proofErr w:type="gramEnd"/>
      <w:r>
        <w:rPr>
          <w:sz w:val="28"/>
          <w:szCs w:val="28"/>
        </w:rPr>
        <w:t xml:space="preserve"> of you use Spot Crime which is OK but all reported there is really not crime.  Some is found property and some just incidents.  One recent car </w:t>
      </w:r>
      <w:r w:rsidR="00F92A17">
        <w:rPr>
          <w:sz w:val="28"/>
          <w:szCs w:val="28"/>
        </w:rPr>
        <w:t>theft, when all the facts were uncovered, was the “theft” was by a known person with a key to the house and vehicle.</w:t>
      </w:r>
    </w:p>
    <w:p w:rsidR="00FA728A" w:rsidRDefault="00FA728A" w:rsidP="00ED35E1">
      <w:pPr>
        <w:rPr>
          <w:sz w:val="28"/>
          <w:szCs w:val="28"/>
        </w:rPr>
      </w:pPr>
    </w:p>
    <w:p w:rsidR="00C13EF7" w:rsidRPr="00C13EF7" w:rsidRDefault="00C13EF7" w:rsidP="00ED35E1">
      <w:pPr>
        <w:rPr>
          <w:sz w:val="28"/>
          <w:szCs w:val="28"/>
        </w:rPr>
      </w:pP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OUT OF TOWN—</w:t>
      </w:r>
      <w:r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Pr="008C4661">
        <w:rPr>
          <w:rFonts w:cs="Arial"/>
          <w:b/>
          <w:bCs/>
          <w:sz w:val="28"/>
          <w:szCs w:val="28"/>
        </w:rPr>
        <w:t>free</w:t>
      </w:r>
      <w:r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Pr="008C4661">
        <w:rPr>
          <w:rFonts w:cs="Arial"/>
          <w:b/>
          <w:bCs/>
          <w:sz w:val="28"/>
          <w:szCs w:val="28"/>
        </w:rPr>
        <w:t>NPO</w:t>
      </w:r>
      <w:r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Northaven Park Neighborhood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17F20"/>
    <w:rsid w:val="00022596"/>
    <w:rsid w:val="00022618"/>
    <w:rsid w:val="00022631"/>
    <w:rsid w:val="000236DC"/>
    <w:rsid w:val="00024C9B"/>
    <w:rsid w:val="00025737"/>
    <w:rsid w:val="000265D3"/>
    <w:rsid w:val="00035907"/>
    <w:rsid w:val="00037EF1"/>
    <w:rsid w:val="00051943"/>
    <w:rsid w:val="00055A1C"/>
    <w:rsid w:val="000565EB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2966"/>
    <w:rsid w:val="000851D3"/>
    <w:rsid w:val="00085469"/>
    <w:rsid w:val="00086910"/>
    <w:rsid w:val="000909BD"/>
    <w:rsid w:val="00090A87"/>
    <w:rsid w:val="00093271"/>
    <w:rsid w:val="00096F01"/>
    <w:rsid w:val="000976CC"/>
    <w:rsid w:val="000A2E7A"/>
    <w:rsid w:val="000A632A"/>
    <w:rsid w:val="000A74D0"/>
    <w:rsid w:val="000A78FF"/>
    <w:rsid w:val="000B61A3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072D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37DA7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51E"/>
    <w:rsid w:val="00164F8C"/>
    <w:rsid w:val="00165CD7"/>
    <w:rsid w:val="00170DCF"/>
    <w:rsid w:val="00172B0E"/>
    <w:rsid w:val="00173118"/>
    <w:rsid w:val="00173298"/>
    <w:rsid w:val="00173B04"/>
    <w:rsid w:val="001751CA"/>
    <w:rsid w:val="00175B52"/>
    <w:rsid w:val="001775E8"/>
    <w:rsid w:val="00182A65"/>
    <w:rsid w:val="001833D4"/>
    <w:rsid w:val="00183925"/>
    <w:rsid w:val="00183A40"/>
    <w:rsid w:val="0018478C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7028D"/>
    <w:rsid w:val="0027257B"/>
    <w:rsid w:val="00273973"/>
    <w:rsid w:val="0027533C"/>
    <w:rsid w:val="002806D1"/>
    <w:rsid w:val="0028209D"/>
    <w:rsid w:val="002841FE"/>
    <w:rsid w:val="0028443F"/>
    <w:rsid w:val="002860B7"/>
    <w:rsid w:val="00286383"/>
    <w:rsid w:val="00290F59"/>
    <w:rsid w:val="0029323A"/>
    <w:rsid w:val="00295E4B"/>
    <w:rsid w:val="0029691A"/>
    <w:rsid w:val="002A1EB4"/>
    <w:rsid w:val="002A5BEA"/>
    <w:rsid w:val="002A5C68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E7B7C"/>
    <w:rsid w:val="002F0842"/>
    <w:rsid w:val="002F08DF"/>
    <w:rsid w:val="002F3999"/>
    <w:rsid w:val="002F3DE1"/>
    <w:rsid w:val="002F416C"/>
    <w:rsid w:val="002F6DD1"/>
    <w:rsid w:val="00300370"/>
    <w:rsid w:val="003054A4"/>
    <w:rsid w:val="00306AC5"/>
    <w:rsid w:val="00312913"/>
    <w:rsid w:val="00313E88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5C9A"/>
    <w:rsid w:val="003465A6"/>
    <w:rsid w:val="00350C0D"/>
    <w:rsid w:val="003528A4"/>
    <w:rsid w:val="00352CBA"/>
    <w:rsid w:val="00353838"/>
    <w:rsid w:val="00353FD4"/>
    <w:rsid w:val="00355E4E"/>
    <w:rsid w:val="003574C4"/>
    <w:rsid w:val="0036060D"/>
    <w:rsid w:val="00362350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1E1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209FD"/>
    <w:rsid w:val="00435CF6"/>
    <w:rsid w:val="00437C69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302B"/>
    <w:rsid w:val="00505AA4"/>
    <w:rsid w:val="005067CA"/>
    <w:rsid w:val="00510CB3"/>
    <w:rsid w:val="00510CE9"/>
    <w:rsid w:val="0051140B"/>
    <w:rsid w:val="00516089"/>
    <w:rsid w:val="00516DE5"/>
    <w:rsid w:val="005223FE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38C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53C1"/>
    <w:rsid w:val="00586832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5AD"/>
    <w:rsid w:val="005C36B1"/>
    <w:rsid w:val="005C3FA4"/>
    <w:rsid w:val="005C5046"/>
    <w:rsid w:val="005C57A3"/>
    <w:rsid w:val="005D42C2"/>
    <w:rsid w:val="005D4536"/>
    <w:rsid w:val="005D7FB4"/>
    <w:rsid w:val="005E5CF6"/>
    <w:rsid w:val="005E6EEB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4074C"/>
    <w:rsid w:val="00640E2B"/>
    <w:rsid w:val="0064146C"/>
    <w:rsid w:val="00642189"/>
    <w:rsid w:val="00643447"/>
    <w:rsid w:val="00644DA1"/>
    <w:rsid w:val="00644F73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49CA"/>
    <w:rsid w:val="006E515E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22D8"/>
    <w:rsid w:val="00756A0E"/>
    <w:rsid w:val="00761310"/>
    <w:rsid w:val="00763A40"/>
    <w:rsid w:val="0076429C"/>
    <w:rsid w:val="007642E6"/>
    <w:rsid w:val="00766213"/>
    <w:rsid w:val="007714DE"/>
    <w:rsid w:val="00777BF5"/>
    <w:rsid w:val="00780D20"/>
    <w:rsid w:val="0078202B"/>
    <w:rsid w:val="00783A78"/>
    <w:rsid w:val="00784193"/>
    <w:rsid w:val="0078553D"/>
    <w:rsid w:val="00795126"/>
    <w:rsid w:val="00795C9A"/>
    <w:rsid w:val="00795D66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6E39"/>
    <w:rsid w:val="007F304B"/>
    <w:rsid w:val="007F6237"/>
    <w:rsid w:val="00801CBD"/>
    <w:rsid w:val="0080282F"/>
    <w:rsid w:val="00807B23"/>
    <w:rsid w:val="0081013C"/>
    <w:rsid w:val="0081145E"/>
    <w:rsid w:val="00816F02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0061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B522F"/>
    <w:rsid w:val="008C22DD"/>
    <w:rsid w:val="008C2695"/>
    <w:rsid w:val="008C3B21"/>
    <w:rsid w:val="008C44BC"/>
    <w:rsid w:val="008C4661"/>
    <w:rsid w:val="008C6B3B"/>
    <w:rsid w:val="008C741C"/>
    <w:rsid w:val="008C7F4E"/>
    <w:rsid w:val="008E3CED"/>
    <w:rsid w:val="008E6935"/>
    <w:rsid w:val="008F2EE0"/>
    <w:rsid w:val="008F41BF"/>
    <w:rsid w:val="008F5450"/>
    <w:rsid w:val="008F6507"/>
    <w:rsid w:val="00901622"/>
    <w:rsid w:val="00904AEA"/>
    <w:rsid w:val="009051FA"/>
    <w:rsid w:val="00906C3A"/>
    <w:rsid w:val="00913FB1"/>
    <w:rsid w:val="00914696"/>
    <w:rsid w:val="00921033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0C5B"/>
    <w:rsid w:val="009A194E"/>
    <w:rsid w:val="009A1F79"/>
    <w:rsid w:val="009A2C01"/>
    <w:rsid w:val="009A3064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22363"/>
    <w:rsid w:val="00A25497"/>
    <w:rsid w:val="00A25BBA"/>
    <w:rsid w:val="00A30B6D"/>
    <w:rsid w:val="00A364CF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029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16A0"/>
    <w:rsid w:val="00AB1AA2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0CC9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5706"/>
    <w:rsid w:val="00BF70BD"/>
    <w:rsid w:val="00C00D0B"/>
    <w:rsid w:val="00C01150"/>
    <w:rsid w:val="00C018BC"/>
    <w:rsid w:val="00C01F30"/>
    <w:rsid w:val="00C0420D"/>
    <w:rsid w:val="00C057FB"/>
    <w:rsid w:val="00C0776B"/>
    <w:rsid w:val="00C0799D"/>
    <w:rsid w:val="00C1337C"/>
    <w:rsid w:val="00C134DF"/>
    <w:rsid w:val="00C13EF7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E8B"/>
    <w:rsid w:val="00CE07AE"/>
    <w:rsid w:val="00CE1B46"/>
    <w:rsid w:val="00CE21A5"/>
    <w:rsid w:val="00CE338A"/>
    <w:rsid w:val="00CE3495"/>
    <w:rsid w:val="00CE373E"/>
    <w:rsid w:val="00CE42FF"/>
    <w:rsid w:val="00CE45FD"/>
    <w:rsid w:val="00CE469B"/>
    <w:rsid w:val="00CF0FE8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43AD"/>
    <w:rsid w:val="00D068B3"/>
    <w:rsid w:val="00D1697C"/>
    <w:rsid w:val="00D17181"/>
    <w:rsid w:val="00D26DBF"/>
    <w:rsid w:val="00D30EB0"/>
    <w:rsid w:val="00D312F1"/>
    <w:rsid w:val="00D31912"/>
    <w:rsid w:val="00D3278C"/>
    <w:rsid w:val="00D403FD"/>
    <w:rsid w:val="00D4246F"/>
    <w:rsid w:val="00D43B55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6B8F"/>
    <w:rsid w:val="00DC13DD"/>
    <w:rsid w:val="00DC1C0C"/>
    <w:rsid w:val="00DC4253"/>
    <w:rsid w:val="00DC608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8E9"/>
    <w:rsid w:val="00DF4E71"/>
    <w:rsid w:val="00DF5C90"/>
    <w:rsid w:val="00DF78FA"/>
    <w:rsid w:val="00E025C1"/>
    <w:rsid w:val="00E03F1A"/>
    <w:rsid w:val="00E05C06"/>
    <w:rsid w:val="00E0654C"/>
    <w:rsid w:val="00E11D16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1FEE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50CB"/>
    <w:rsid w:val="00EC5D19"/>
    <w:rsid w:val="00EC625E"/>
    <w:rsid w:val="00EC6FEE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4F46"/>
    <w:rsid w:val="00F054B9"/>
    <w:rsid w:val="00F063DB"/>
    <w:rsid w:val="00F10069"/>
    <w:rsid w:val="00F104F5"/>
    <w:rsid w:val="00F10C41"/>
    <w:rsid w:val="00F12088"/>
    <w:rsid w:val="00F12301"/>
    <w:rsid w:val="00F1553F"/>
    <w:rsid w:val="00F1722B"/>
    <w:rsid w:val="00F17A7A"/>
    <w:rsid w:val="00F20F65"/>
    <w:rsid w:val="00F24C27"/>
    <w:rsid w:val="00F254B7"/>
    <w:rsid w:val="00F26103"/>
    <w:rsid w:val="00F26A17"/>
    <w:rsid w:val="00F30E12"/>
    <w:rsid w:val="00F3187B"/>
    <w:rsid w:val="00F32D59"/>
    <w:rsid w:val="00F346F5"/>
    <w:rsid w:val="00F34EA4"/>
    <w:rsid w:val="00F3549B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2ED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A17"/>
    <w:rsid w:val="00F92F0A"/>
    <w:rsid w:val="00F9403E"/>
    <w:rsid w:val="00F95158"/>
    <w:rsid w:val="00FA015A"/>
    <w:rsid w:val="00FA065E"/>
    <w:rsid w:val="00FA728A"/>
    <w:rsid w:val="00FA7296"/>
    <w:rsid w:val="00FA746C"/>
    <w:rsid w:val="00FB0A00"/>
    <w:rsid w:val="00FB1D5F"/>
    <w:rsid w:val="00FB1F82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2017-02-01T19:36:00Z</dcterms:created>
  <dcterms:modified xsi:type="dcterms:W3CDTF">2017-02-01T19:36:00Z</dcterms:modified>
</cp:coreProperties>
</file>